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</w:pPr>
      <w:r>
        <w:t xml:space="preserve">系统演示准备方案</w:t>
      </w:r>
    </w:p>
    <w:p>
      <w:pPr>
        <w:pStyle w:val="Heading2"/>
      </w:pPr>
      <w:r>
        <w:t xml:space="preserve">一、演示核心信息</w:t>
      </w:r>
    </w:p>
    <w:p>
      <w:pPr>
        <w:pStyle w:val="text"/>
      </w:pP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</w:tblGrid>
      <w:tr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项目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详情</w:t>
            </w:r>
          </w:p>
        </w:tc>
      </w:tr>
      <w:tr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演示主题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[填写系统名称] 功能及价值演示</w:t>
            </w:r>
          </w:p>
        </w:tc>
      </w:tr>
      <w:tr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演示时间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[年 / 月 / 日 时：分 - 时：分]</w:t>
            </w:r>
          </w:p>
        </w:tc>
      </w:tr>
      <w:tr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演示地点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[线下地址 / 线上会议链接（含会议号、密码）]</w:t>
            </w:r>
          </w:p>
        </w:tc>
      </w:tr>
      <w:tr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目标受众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[如：客户决策层、业务部门负责人、技术评审团队等]</w:t>
            </w:r>
          </w:p>
        </w:tc>
      </w:tr>
      <w:tr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演示时长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[预计总时长，建议分模块控制时长，如：总 60 分钟，核心功能 40 分钟，答疑 20 分钟]</w:t>
            </w:r>
          </w:p>
        </w:tc>
      </w:tr>
      <w:tr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核心目标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1. 完整展示系统核心功能及亮点，验证功能满足业务需求；2. 传递系统技术优势、易用性及落地价值；3. 解答受众疑问，获取反馈，推进项目下一步进展（如签约、验收、迭代优化确认等）]</w:t>
            </w:r>
          </w:p>
        </w:tc>
      </w:tr>
    </w:tbl>
    <w:p>
      <w:pPr>
        <w:pStyle w:val="Heading2"/>
      </w:pPr>
      <w:r>
        <w:t xml:space="preserve">二、前期筹备事项</w:t>
      </w:r>
    </w:p>
    <w:p>
      <w:pPr>
        <w:pStyle w:val="Heading3"/>
      </w:pPr>
      <w:r>
        <w:t xml:space="preserve">（一）系统环境准备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环境搭建</w:t>
      </w:r>
      <w:r>
        <w:t xml:space="preserve">：</w:t>
      </w:r>
    </w:p>
    <w:p>
      <w:pPr>
        <w:pStyle w:val="text"/>
        <w:numPr>
          <w:ilvl w:val="1"/>
          <w:numId w:val="3"/>
        </w:numPr>
      </w:pPr>
      <w:r>
        <w:t xml:space="preserve">部署演示专用环境，确保与正式环境核心配置一致，无冗余数据干扰；</w:t>
      </w:r>
    </w:p>
    <w:p>
      <w:pPr>
        <w:pStyle w:val="text"/>
        <w:numPr>
          <w:ilvl w:val="1"/>
          <w:numId w:val="3"/>
        </w:numPr>
      </w:pPr>
      <w:r>
        <w:t xml:space="preserve">提前完成系统安装、配置、数据初始化（如测试账号、模拟业务数据、流程示例数据），确保数据真实贴合演示场景；</w:t>
      </w:r>
    </w:p>
    <w:p>
      <w:pPr>
        <w:pStyle w:val="text"/>
        <w:numPr>
          <w:ilvl w:val="1"/>
          <w:numId w:val="3"/>
        </w:numPr>
      </w:pPr>
      <w:r>
        <w:t xml:space="preserve">验证环境稳定性，关闭非必要服务，避免演示过程中出现卡顿、崩溃。</w:t>
      </w:r>
    </w:p>
    <w:p>
      <w:pPr>
        <w:pStyle w:val="text"/>
        <w:numPr>
          <w:ilvl w:val="0"/>
          <w:numId w:val="4"/>
        </w:numPr>
      </w:pPr>
      <w:r>
        <w:rPr>
          <w:b/>
          <w:bCs/>
        </w:rPr>
        <w:t xml:space="preserve">权限配置</w:t>
      </w:r>
      <w:r>
        <w:t xml:space="preserve">：</w:t>
      </w:r>
    </w:p>
    <w:p>
      <w:pPr>
        <w:pStyle w:val="text"/>
        <w:numPr>
          <w:ilvl w:val="1"/>
          <w:numId w:val="3"/>
        </w:numPr>
      </w:pPr>
      <w:r>
        <w:t xml:space="preserve">创建演示专用账号，分配对应操作权限（如管理员权限、普通用户权限，根据演示场景需求设置）；</w:t>
      </w:r>
    </w:p>
    <w:p>
      <w:pPr>
        <w:pStyle w:val="text"/>
        <w:numPr>
          <w:ilvl w:val="1"/>
          <w:numId w:val="3"/>
        </w:numPr>
      </w:pPr>
      <w:r>
        <w:t xml:space="preserve">测试账号登录流程，确保无登录失败、权限不足等问题。</w:t>
      </w:r>
    </w:p>
    <w:p>
      <w:pPr>
        <w:pStyle w:val="text"/>
        <w:numPr>
          <w:ilvl w:val="0"/>
          <w:numId w:val="5"/>
        </w:numPr>
      </w:pPr>
      <w:r>
        <w:rPr>
          <w:b/>
          <w:bCs/>
        </w:rPr>
        <w:t xml:space="preserve">兼容性验证</w:t>
      </w:r>
      <w:r>
        <w:t xml:space="preserve">：</w:t>
      </w:r>
    </w:p>
    <w:p>
      <w:pPr>
        <w:pStyle w:val="text"/>
        <w:numPr>
          <w:ilvl w:val="1"/>
          <w:numId w:val="3"/>
        </w:numPr>
      </w:pPr>
      <w:r>
        <w:t xml:space="preserve">确认演示所用设备（电脑、投影、显示器）与系统的兼容性，测试分辨率、浏览器适配（推荐主流浏览器：Chrome、Edge 最新版本）；</w:t>
      </w:r>
    </w:p>
    <w:p>
      <w:pPr>
        <w:pStyle w:val="text"/>
        <w:numPr>
          <w:ilvl w:val="1"/>
          <w:numId w:val="3"/>
        </w:numPr>
      </w:pPr>
      <w:r>
        <w:t xml:space="preserve">若涉及移动端演示，提前测试手机、平板等设备的访问效果及操作流畅度。</w:t>
      </w:r>
    </w:p>
    <w:p>
      <w:pPr>
        <w:pStyle w:val="Heading3"/>
      </w:pPr>
      <w:r>
        <w:t xml:space="preserve">（二）演示内容准备</w:t>
      </w:r>
    </w:p>
    <w:p>
      <w:pPr>
        <w:pStyle w:val="text"/>
        <w:numPr>
          <w:ilvl w:val="0"/>
          <w:numId w:val="6"/>
        </w:numPr>
      </w:pPr>
      <w:r>
        <w:rPr>
          <w:b/>
          <w:bCs/>
        </w:rPr>
        <w:t xml:space="preserve">演示脚本编制</w:t>
      </w:r>
      <w:r>
        <w:t xml:space="preserve">：</w:t>
      </w:r>
    </w:p>
    <w:p>
      <w:pPr>
        <w:pStyle w:val="text"/>
        <w:numPr>
          <w:ilvl w:val="1"/>
          <w:numId w:val="3"/>
        </w:numPr>
      </w:pPr>
      <w:r>
        <w:t xml:space="preserve">按 “开篇介绍→核心功能演示→亮点特色展示→场景化应用演示→总结” 逻辑梳理脚本；</w:t>
      </w:r>
    </w:p>
    <w:p>
      <w:pPr>
        <w:pStyle w:val="text"/>
        <w:numPr>
          <w:ilvl w:val="1"/>
          <w:numId w:val="3"/>
        </w:numPr>
      </w:pPr>
      <w:r>
        <w:t xml:space="preserve">明确每个模块的演示重点、操作步骤、话术要点（如功能解决的业务痛点、技术优势、使用价值）；</w:t>
      </w:r>
    </w:p>
    <w:p>
      <w:pPr>
        <w:pStyle w:val="text"/>
        <w:numPr>
          <w:ilvl w:val="1"/>
          <w:numId w:val="3"/>
        </w:numPr>
      </w:pPr>
      <w:r>
        <w:t xml:space="preserve">标注演示时长分配，避免超时或节奏过快。</w:t>
      </w:r>
    </w:p>
    <w:p>
      <w:pPr>
        <w:pStyle w:val="text"/>
        <w:numPr>
          <w:ilvl w:val="0"/>
          <w:numId w:val="7"/>
        </w:numPr>
      </w:pPr>
      <w:r>
        <w:rPr>
          <w:b/>
          <w:bCs/>
        </w:rPr>
        <w:t xml:space="preserve">演示素材准备</w:t>
      </w:r>
      <w:r>
        <w:t xml:space="preserve">：</w:t>
      </w:r>
    </w:p>
    <w:p>
      <w:pPr>
        <w:pStyle w:val="text"/>
        <w:numPr>
          <w:ilvl w:val="1"/>
          <w:numId w:val="3"/>
        </w:numPr>
      </w:pPr>
      <w:r>
        <w:t xml:space="preserve">制作演示 PPT（含系统介绍、核心功能截图 / 示意图、业务流程框架、价值亮点总结等）；</w:t>
      </w:r>
    </w:p>
    <w:p>
      <w:pPr>
        <w:pStyle w:val="text"/>
        <w:numPr>
          <w:ilvl w:val="1"/>
          <w:numId w:val="3"/>
        </w:numPr>
      </w:pPr>
      <w:r>
        <w:t xml:space="preserve">准备辅助素材（如业务场景案例文档、数据对比报表、客户成功案例视频等，按需选用）；</w:t>
      </w:r>
    </w:p>
    <w:p>
      <w:pPr>
        <w:pStyle w:val="text"/>
        <w:numPr>
          <w:ilvl w:val="1"/>
          <w:numId w:val="3"/>
        </w:numPr>
      </w:pPr>
      <w:r>
        <w:t xml:space="preserve">确保素材格式兼容，提前测试播放效果。</w:t>
      </w:r>
    </w:p>
    <w:p>
      <w:pPr>
        <w:pStyle w:val="text"/>
        <w:numPr>
          <w:ilvl w:val="0"/>
          <w:numId w:val="8"/>
        </w:numPr>
      </w:pPr>
      <w:r>
        <w:rPr>
          <w:b/>
          <w:bCs/>
        </w:rPr>
        <w:t xml:space="preserve">测试用例准备</w:t>
      </w:r>
      <w:r>
        <w:t xml:space="preserve">：</w:t>
      </w:r>
    </w:p>
    <w:p>
      <w:pPr>
        <w:pStyle w:val="text"/>
        <w:numPr>
          <w:ilvl w:val="1"/>
          <w:numId w:val="3"/>
        </w:numPr>
      </w:pPr>
      <w:r>
        <w:t xml:space="preserve">设计核心功能测试用例（如数据录入、流程审批、查询统计、异常场景处理等）；</w:t>
      </w:r>
    </w:p>
    <w:p>
      <w:pPr>
        <w:pStyle w:val="text"/>
        <w:numPr>
          <w:ilvl w:val="1"/>
          <w:numId w:val="3"/>
        </w:numPr>
      </w:pPr>
      <w:r>
        <w:t xml:space="preserve">提前演练测试用例，确保操作流畅、结果准确，避免演示过程中出现操作失误。</w:t>
      </w:r>
    </w:p>
    <w:p>
      <w:pPr>
        <w:pStyle w:val="Heading3"/>
      </w:pPr>
      <w:r>
        <w:t xml:space="preserve">（三）硬件及环境保障</w:t>
      </w:r>
    </w:p>
    <w:p>
      <w:pPr>
        <w:pStyle w:val="text"/>
        <w:numPr>
          <w:ilvl w:val="0"/>
          <w:numId w:val="9"/>
        </w:numPr>
      </w:pPr>
      <w:r>
        <w:rPr>
          <w:b/>
          <w:bCs/>
        </w:rPr>
        <w:t xml:space="preserve">设备检查</w:t>
      </w:r>
      <w:r>
        <w:t xml:space="preserve">：</w:t>
      </w:r>
    </w:p>
    <w:p>
      <w:pPr>
        <w:pStyle w:val="text"/>
        <w:numPr>
          <w:ilvl w:val="1"/>
          <w:numId w:val="3"/>
        </w:numPr>
      </w:pPr>
      <w:r>
        <w:t xml:space="preserve">演示设备（电脑、投影仪、麦克风、音响、摄像头）调试，确保画面清晰、声音正常、网络稳定；</w:t>
      </w:r>
    </w:p>
    <w:p>
      <w:pPr>
        <w:pStyle w:val="text"/>
        <w:numPr>
          <w:ilvl w:val="1"/>
          <w:numId w:val="3"/>
        </w:numPr>
      </w:pPr>
      <w:r>
        <w:t xml:space="preserve">准备备用设备（如笔记本电脑、U 盘、数据线、电源适配器），应对突发故障；</w:t>
      </w:r>
    </w:p>
    <w:p>
      <w:pPr>
        <w:pStyle w:val="text"/>
        <w:numPr>
          <w:ilvl w:val="1"/>
          <w:numId w:val="3"/>
        </w:numPr>
      </w:pPr>
      <w:r>
        <w:t xml:space="preserve">线上演示需提前测试网络带宽，关闭无关软件，避免网络卡顿或断连。</w:t>
      </w:r>
    </w:p>
    <w:p>
      <w:pPr>
        <w:pStyle w:val="text"/>
        <w:numPr>
          <w:ilvl w:val="0"/>
          <w:numId w:val="10"/>
        </w:numPr>
      </w:pPr>
      <w:r>
        <w:rPr>
          <w:b/>
          <w:bCs/>
        </w:rPr>
        <w:t xml:space="preserve">场地布置</w:t>
      </w:r>
      <w:r>
        <w:t xml:space="preserve">：</w:t>
      </w:r>
    </w:p>
    <w:p>
      <w:pPr>
        <w:pStyle w:val="text"/>
        <w:numPr>
          <w:ilvl w:val="1"/>
          <w:numId w:val="3"/>
        </w:numPr>
      </w:pPr>
      <w:r>
        <w:t xml:space="preserve">线下演示场地提前清理、布置，确保座位安排合理、环境安静；</w:t>
      </w:r>
    </w:p>
    <w:p>
      <w:pPr>
        <w:pStyle w:val="text"/>
        <w:numPr>
          <w:ilvl w:val="1"/>
          <w:numId w:val="3"/>
        </w:numPr>
      </w:pPr>
      <w:r>
        <w:t xml:space="preserve">检查演示区域的电源、网络接口，确保正常使用；</w:t>
      </w:r>
    </w:p>
    <w:p>
      <w:pPr>
        <w:pStyle w:val="text"/>
        <w:numPr>
          <w:ilvl w:val="1"/>
          <w:numId w:val="3"/>
        </w:numPr>
      </w:pPr>
      <w:r>
        <w:t xml:space="preserve">准备饮用水、纸笔等辅助物品，提升受众体验。</w:t>
      </w:r>
    </w:p>
    <w:p>
      <w:pPr>
        <w:pStyle w:val="Heading2"/>
      </w:pPr>
      <w:r>
        <w:t xml:space="preserve">三、演示流程及执行要点</w:t>
      </w:r>
    </w:p>
    <w:p>
      <w:pPr>
        <w:pStyle w:val="Heading3"/>
      </w:pPr>
      <w:r>
        <w:t xml:space="preserve">（一）演示前 30 分钟</w:t>
      </w:r>
    </w:p>
    <w:p>
      <w:pPr>
        <w:pStyle w:val="text"/>
        <w:numPr>
          <w:ilvl w:val="0"/>
          <w:numId w:val="11"/>
        </w:numPr>
      </w:pPr>
      <w:r>
        <w:t xml:space="preserve">再次检查系统环境、演示设备、网络状态，确认一切正常；</w:t>
      </w:r>
    </w:p>
    <w:p>
      <w:pPr>
        <w:pStyle w:val="text"/>
        <w:numPr>
          <w:ilvl w:val="0"/>
          <w:numId w:val="11"/>
        </w:numPr>
      </w:pPr>
      <w:r>
        <w:t xml:space="preserve">登录演示账号，打开演示素材（PPT、系统页面），做好演示准备；</w:t>
      </w:r>
    </w:p>
    <w:p>
      <w:pPr>
        <w:pStyle w:val="text"/>
        <w:numPr>
          <w:ilvl w:val="0"/>
          <w:numId w:val="11"/>
        </w:numPr>
      </w:pPr>
      <w:r>
        <w:t xml:space="preserve">迎接受众，引导入座，简单沟通演示主题及流程，缓解紧张氛围。</w:t>
      </w:r>
    </w:p>
    <w:p>
      <w:pPr>
        <w:pStyle w:val="Heading3"/>
      </w:pPr>
      <w:r>
        <w:t xml:space="preserve">（二）演示执行（按脚本推进）</w:t>
      </w:r>
    </w:p>
    <w:p>
      <w:pPr>
        <w:pStyle w:val="text"/>
        <w:numPr>
          <w:ilvl w:val="0"/>
          <w:numId w:val="12"/>
        </w:numPr>
      </w:pPr>
      <w:r>
        <w:rPr>
          <w:b/>
          <w:bCs/>
        </w:rPr>
        <w:t xml:space="preserve">开篇介绍（5 分钟）</w:t>
      </w:r>
      <w:r>
        <w:t xml:space="preserve">：</w:t>
      </w:r>
    </w:p>
    <w:p>
      <w:pPr>
        <w:pStyle w:val="text"/>
        <w:numPr>
          <w:ilvl w:val="1"/>
          <w:numId w:val="3"/>
        </w:numPr>
      </w:pPr>
      <w:r>
        <w:t xml:space="preserve">自我介绍及团队成员介绍（如需）；</w:t>
      </w:r>
    </w:p>
    <w:p>
      <w:pPr>
        <w:pStyle w:val="text"/>
        <w:numPr>
          <w:ilvl w:val="1"/>
          <w:numId w:val="3"/>
        </w:numPr>
      </w:pPr>
      <w:r>
        <w:t xml:space="preserve">明确演示主题、核心内容及时长，引导受众关注重点。</w:t>
      </w:r>
    </w:p>
    <w:p>
      <w:pPr>
        <w:pStyle w:val="text"/>
        <w:numPr>
          <w:ilvl w:val="0"/>
          <w:numId w:val="13"/>
        </w:numPr>
      </w:pPr>
      <w:r>
        <w:rPr>
          <w:b/>
          <w:bCs/>
        </w:rPr>
        <w:t xml:space="preserve">核心功能演示（30-40 分钟）</w:t>
      </w:r>
      <w:r>
        <w:t xml:space="preserve">：</w:t>
      </w:r>
    </w:p>
    <w:p>
      <w:pPr>
        <w:pStyle w:val="text"/>
        <w:numPr>
          <w:ilvl w:val="1"/>
          <w:numId w:val="3"/>
        </w:numPr>
      </w:pPr>
      <w:r>
        <w:t xml:space="preserve">按脚本顺序演示核心功能，操作熟练、节奏平稳，配合话术讲解功能亮点及业务价值；</w:t>
      </w:r>
    </w:p>
    <w:p>
      <w:pPr>
        <w:pStyle w:val="text"/>
        <w:numPr>
          <w:ilvl w:val="1"/>
          <w:numId w:val="3"/>
        </w:numPr>
      </w:pPr>
      <w:r>
        <w:t xml:space="preserve">及时回应受众现场疑问（简单问题当场解答，复杂问题可记录后统一答疑）；</w:t>
      </w:r>
    </w:p>
    <w:p>
      <w:pPr>
        <w:pStyle w:val="text"/>
        <w:numPr>
          <w:ilvl w:val="1"/>
          <w:numId w:val="3"/>
        </w:numPr>
      </w:pPr>
      <w:r>
        <w:t xml:space="preserve">注重互动，可邀请受众现场操作体验（如需），增强参与感。</w:t>
      </w:r>
    </w:p>
    <w:p>
      <w:pPr>
        <w:pStyle w:val="text"/>
        <w:numPr>
          <w:ilvl w:val="0"/>
          <w:numId w:val="14"/>
        </w:numPr>
      </w:pPr>
      <w:r>
        <w:rPr>
          <w:b/>
          <w:bCs/>
        </w:rPr>
        <w:t xml:space="preserve">亮点特色及价值展示（10 分钟）</w:t>
      </w:r>
      <w:r>
        <w:t xml:space="preserve">：</w:t>
      </w:r>
    </w:p>
    <w:p>
      <w:pPr>
        <w:pStyle w:val="text"/>
        <w:numPr>
          <w:ilvl w:val="1"/>
          <w:numId w:val="3"/>
        </w:numPr>
      </w:pPr>
      <w:r>
        <w:t xml:space="preserve">聚焦系统差异化优势（如技术创新、易用性、成本节约、效率提升等）；</w:t>
      </w:r>
    </w:p>
    <w:p>
      <w:pPr>
        <w:pStyle w:val="text"/>
        <w:numPr>
          <w:ilvl w:val="1"/>
          <w:numId w:val="3"/>
        </w:numPr>
      </w:pPr>
      <w:r>
        <w:t xml:space="preserve">结合业务场景说明系统落地后的实际价值，强化受众认知。</w:t>
      </w:r>
    </w:p>
    <w:p>
      <w:pPr>
        <w:pStyle w:val="text"/>
        <w:numPr>
          <w:ilvl w:val="0"/>
          <w:numId w:val="15"/>
        </w:numPr>
      </w:pPr>
      <w:r>
        <w:rPr>
          <w:b/>
          <w:bCs/>
        </w:rPr>
        <w:t xml:space="preserve">答疑环节（10-15 分钟）</w:t>
      </w:r>
      <w:r>
        <w:t xml:space="preserve">：</w:t>
      </w:r>
    </w:p>
    <w:p>
      <w:pPr>
        <w:pStyle w:val="text"/>
        <w:numPr>
          <w:ilvl w:val="1"/>
          <w:numId w:val="3"/>
        </w:numPr>
      </w:pPr>
      <w:r>
        <w:t xml:space="preserve">逐一解答受众疑问，态度耐心、专业；</w:t>
      </w:r>
    </w:p>
    <w:p>
      <w:pPr>
        <w:pStyle w:val="text"/>
        <w:numPr>
          <w:ilvl w:val="1"/>
          <w:numId w:val="3"/>
        </w:numPr>
      </w:pPr>
      <w:r>
        <w:t xml:space="preserve">对无法当场解答的问题，记录问题及提问人信息，明确后续反馈时间。</w:t>
      </w:r>
    </w:p>
    <w:p>
      <w:pPr>
        <w:pStyle w:val="text"/>
        <w:numPr>
          <w:ilvl w:val="0"/>
          <w:numId w:val="16"/>
        </w:numPr>
      </w:pPr>
      <w:r>
        <w:rPr>
          <w:b/>
          <w:bCs/>
        </w:rPr>
        <w:t xml:space="preserve">总结及下一步安排（5 分钟）</w:t>
      </w:r>
      <w:r>
        <w:t xml:space="preserve">：</w:t>
      </w:r>
    </w:p>
    <w:p>
      <w:pPr>
        <w:pStyle w:val="text"/>
        <w:numPr>
          <w:ilvl w:val="1"/>
          <w:numId w:val="3"/>
        </w:numPr>
      </w:pPr>
      <w:r>
        <w:t xml:space="preserve">简要总结演示核心内容，重申系统价值；</w:t>
      </w:r>
    </w:p>
    <w:p>
      <w:pPr>
        <w:pStyle w:val="text"/>
        <w:numPr>
          <w:ilvl w:val="1"/>
          <w:numId w:val="3"/>
        </w:numPr>
      </w:pPr>
      <w:r>
        <w:t xml:space="preserve">明确后续沟通、对接事项（如方案调整、二次演示、合同洽谈等）。</w:t>
      </w:r>
    </w:p>
    <w:p>
      <w:pPr>
        <w:pStyle w:val="Heading3"/>
      </w:pPr>
      <w:r>
        <w:t xml:space="preserve">（三）演示后即时工作</w:t>
      </w:r>
    </w:p>
    <w:p>
      <w:pPr>
        <w:pStyle w:val="text"/>
        <w:numPr>
          <w:ilvl w:val="0"/>
          <w:numId w:val="17"/>
        </w:numPr>
      </w:pPr>
      <w:r>
        <w:t xml:space="preserve">感谢受众参与，收集现场反馈（可通过纸质问卷、线上表单等形式）；</w:t>
      </w:r>
    </w:p>
    <w:p>
      <w:pPr>
        <w:pStyle w:val="text"/>
        <w:numPr>
          <w:ilvl w:val="0"/>
          <w:numId w:val="17"/>
        </w:numPr>
      </w:pPr>
      <w:r>
        <w:t xml:space="preserve">整理演示设备，备份演示素材及系统数据；</w:t>
      </w:r>
    </w:p>
    <w:p>
      <w:pPr>
        <w:pStyle w:val="text"/>
        <w:numPr>
          <w:ilvl w:val="0"/>
          <w:numId w:val="17"/>
        </w:numPr>
      </w:pPr>
      <w:r>
        <w:t xml:space="preserve">团队内部快速复盘，记录演示过程中的问题及改进点。</w:t>
      </w:r>
    </w:p>
    <w:p>
      <w:pPr>
        <w:pStyle w:val="Heading2"/>
      </w:pPr>
      <w:r>
        <w:t xml:space="preserve">四、风险应对预案</w:t>
      </w:r>
    </w:p>
    <w:p>
      <w:pPr>
        <w:pStyle w:val="text"/>
      </w:pP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</w:tblGrid>
      <w:tr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潜在风险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应对措施</w:t>
            </w:r>
          </w:p>
        </w:tc>
      </w:tr>
      <w:tr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系统崩溃 / 卡顿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1. 提前备份演示环境数据，准备备用演示环境；2. 演示设备安装系统恢复工具，突发故障时快速切换备用环境或设备；3. 简化演示流程，优先展示核心功能。</w:t>
            </w:r>
          </w:p>
        </w:tc>
      </w:tr>
      <w:tr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网络断连（线上演示）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1. 提前测试网络稳定性，准备 4G/5G 热点作为备用网络；2. 下载离线演示素材（如 PPT、视频），网络中断时切换离线演示模式。</w:t>
            </w:r>
          </w:p>
        </w:tc>
      </w:tr>
      <w:tr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设备故障（投影、音响等）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1. 准备备用设备，如便携投影仪、无线麦克风；2. 演示电脑提前设置屏幕镜像功能，可快速切换显示设备。</w:t>
            </w:r>
          </w:p>
        </w:tc>
      </w:tr>
      <w:tr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受众疑问超出预期 / 无法解答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1. 提前梳理常见疑问及解答思路，做好准备；2. 对陌生问题坦诚说明，记录后联合技术 / 业务团队及时反馈，避免误导。</w:t>
            </w:r>
          </w:p>
        </w:tc>
      </w:tr>
      <w:tr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演示超时 / 时间不足</w:t>
            </w:r>
          </w:p>
        </w:tc>
        <w:tc>
          <w:tcPr>
            <w:tcW w:type="dxa" w:w="2760"/>
            <w:tcBorders>
              <w:top w:val="single" w:color="DEE0E3" w:sz="0" w:space="0"/>
              <w:start w:val="single" w:color="DEE0E3" w:sz="0" w:space="0"/>
              <w:left w:val="single" w:color="DEE0E3" w:sz="0" w:space="0"/>
              <w:bottom w:val="single" w:color="DEE0E3" w:sz="0" w:space="0"/>
              <w:end w:val="single" w:color="DEE0E3" w:sz="0" w:space="0"/>
              <w:right w:val="single" w:color="DEE0E3" w:sz="0" w:space="0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pStyle w:val="text"/>
            </w:pPr>
            <w:r>
              <w:t xml:space="preserve">1. 严格按脚本时长控制演示节奏，安排专人提醒时间；2. 提前明确核心模块优先级，时间不足时优先完成核心内容演示，非核心内容可简化或后续补充。</w:t>
            </w:r>
          </w:p>
        </w:tc>
      </w:tr>
    </w:tbl>
    <w:p>
      <w:pPr>
        <w:pStyle w:val="Heading2"/>
      </w:pPr>
      <w:r>
        <w:t xml:space="preserve">五、后期跟进事项</w:t>
      </w:r>
    </w:p>
    <w:p>
      <w:pPr>
        <w:pStyle w:val="text"/>
        <w:numPr>
          <w:ilvl w:val="0"/>
          <w:numId w:val="18"/>
        </w:numPr>
      </w:pPr>
      <w:r>
        <w:t xml:space="preserve">整理演示反馈：汇总受众提出的问题、建议，分类梳理（如功能需求、优化建议、疑问解答）；</w:t>
      </w:r>
    </w:p>
    <w:p>
      <w:pPr>
        <w:pStyle w:val="text"/>
        <w:numPr>
          <w:ilvl w:val="0"/>
          <w:numId w:val="18"/>
        </w:numPr>
      </w:pPr>
      <w:r>
        <w:t xml:space="preserve">问题跟进处理：针对反馈问题，联合技术、业务团队制定解决方案，明确责任人及完成时限，及时向受众反馈处理结果；</w:t>
      </w:r>
    </w:p>
    <w:p>
      <w:pPr>
        <w:pStyle w:val="text"/>
        <w:numPr>
          <w:ilvl w:val="0"/>
          <w:numId w:val="18"/>
        </w:numPr>
      </w:pPr>
      <w:r>
        <w:t xml:space="preserve">素材归档：将演示脚本、PPT、测试用例、反馈记录等素材整理归档，便于后续复用及优化；</w:t>
      </w:r>
    </w:p>
    <w:p>
      <w:pPr>
        <w:pStyle w:val="text"/>
        <w:numPr>
          <w:ilvl w:val="0"/>
          <w:numId w:val="18"/>
        </w:numPr>
      </w:pPr>
      <w:r>
        <w:t xml:space="preserve">总结优化：召开团队复盘会议，总结演示过程中的优点及不足，优化演示流程、脚本及素材，提升后续演示效果。</w:t>
      </w:r>
    </w:p>
    <w:p>
      <w:pPr>
        <w:pStyle w:val="Heading2"/>
      </w:pPr>
      <w:r>
        <w:t xml:space="preserve">六、附件（按需添加）</w:t>
      </w:r>
    </w:p>
    <w:p>
      <w:pPr>
        <w:pStyle w:val="text"/>
        <w:numPr>
          <w:ilvl w:val="0"/>
          <w:numId w:val="19"/>
        </w:numPr>
      </w:pPr>
      <w:r>
        <w:t xml:space="preserve">演示脚本详细版；</w:t>
      </w:r>
    </w:p>
    <w:p>
      <w:pPr>
        <w:pStyle w:val="text"/>
        <w:numPr>
          <w:ilvl w:val="0"/>
          <w:numId w:val="19"/>
        </w:numPr>
      </w:pPr>
      <w:r>
        <w:t xml:space="preserve">演示 PPT 文件；</w:t>
      </w:r>
    </w:p>
    <w:p>
      <w:pPr>
        <w:pStyle w:val="text"/>
        <w:numPr>
          <w:ilvl w:val="0"/>
          <w:numId w:val="19"/>
        </w:numPr>
      </w:pPr>
      <w:r>
        <w:t xml:space="preserve">测试用例清单；</w:t>
      </w:r>
    </w:p>
    <w:p>
      <w:pPr>
        <w:pStyle w:val="text"/>
        <w:numPr>
          <w:ilvl w:val="0"/>
          <w:numId w:val="19"/>
        </w:numPr>
      </w:pPr>
      <w:r>
        <w:t xml:space="preserve">受众反馈问卷；</w:t>
      </w:r>
    </w:p>
    <w:p>
      <w:pPr>
        <w:pStyle w:val="text"/>
        <w:numPr>
          <w:ilvl w:val="0"/>
          <w:numId w:val="19"/>
        </w:numPr>
      </w:pPr>
      <w:r>
        <w:t xml:space="preserve">相关支撑素材（案例文档、数据报表等）。</w:t>
      </w:r>
    </w:p>
    <w:p>
      <w:pPr>
        <w:pStyle w:val="blockquote"/>
        <w:pBdr>
          <w:left w:val="single" w:color="BBBFC4" w:sz="18" w:space="0"/>
        </w:pBdr>
      </w:pPr>
      <w:r>
        <w:t xml:space="preserve">（注：文档部分内容可能由 AI 生成）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.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lowerLetter"/>
      <w:lvlText w:val="%2.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lowerRoman"/>
      <w:lvlText w:val="%3."/>
      <w:lvlJc w:val="start"/>
      <w:pPr>
        <w:ind w:left="1152" w:hanging="288"/>
      </w:pPr>
      <w:rPr>
        <w:color w:val="3370FF"/>
        <w:sz w:val="22"/>
        <w:szCs w:val="22"/>
      </w:rPr>
    </w:lvl>
    <w:lvl w:ilvl="3" w15:tentative="1">
      <w:start w:val="1"/>
      <w:numFmt w:val="decimal"/>
      <w:lvlText w:val="%4."/>
      <w:lvlJc w:val="start"/>
      <w:pPr>
        <w:ind w:left="1583" w:hanging="288"/>
      </w:pPr>
      <w:rPr>
        <w:color w:val="3370FF"/>
        <w:sz w:val="22"/>
        <w:szCs w:val="22"/>
      </w:rPr>
    </w:lvl>
    <w:lvl w:ilvl="4" w15:tentative="1">
      <w:start w:val="1"/>
      <w:numFmt w:val="lowerLetter"/>
      <w:lvlText w:val="%5."/>
      <w:lvlJc w:val="start"/>
      <w:pPr>
        <w:ind w:left="2015" w:hanging="288"/>
      </w:pPr>
      <w:rPr>
        <w:color w:val="3370FF"/>
        <w:sz w:val="22"/>
        <w:szCs w:val="22"/>
      </w:rPr>
    </w:lvl>
    <w:lvl w:ilvl="5" w15:tentative="1">
      <w:start w:val="1"/>
      <w:numFmt w:val="lowerRoman"/>
      <w:lvlText w:val="%6."/>
      <w:lvlJc w:val="start"/>
      <w:pPr>
        <w:ind w:left="2448" w:hanging="288"/>
      </w:pPr>
      <w:rPr>
        <w:color w:val="3370FF"/>
        <w:sz w:val="22"/>
        <w:szCs w:val="22"/>
      </w:rPr>
    </w:lvl>
    <w:lvl w:ilvl="6" w15:tentative="1">
      <w:start w:val="1"/>
      <w:numFmt w:val="decimal"/>
      <w:lvlText w:val="%7."/>
      <w:lvlJc w:val="start"/>
      <w:pPr>
        <w:ind w:left="2879" w:hanging="288"/>
      </w:pPr>
      <w:rPr>
        <w:color w:val="3370FF"/>
        <w:sz w:val="22"/>
        <w:szCs w:val="22"/>
      </w:rPr>
    </w:lvl>
    <w:lvl w:ilvl="7" w15:tentative="1">
      <w:start w:val="1"/>
      <w:numFmt w:val="lowerLetter"/>
      <w:lvlText w:val="%8."/>
      <w:lvlJc w:val="start"/>
      <w:pPr>
        <w:ind w:left="3312" w:hanging="288"/>
      </w:pPr>
      <w:rPr>
        <w:color w:val="3370FF"/>
        <w:sz w:val="22"/>
        <w:szCs w:val="22"/>
      </w:rPr>
    </w:lvl>
    <w:lvl w:ilvl="8" w15:tentative="1">
      <w:start w:val="1"/>
      <w:numFmt w:val="lowerRoman"/>
      <w:lvlText w:val="%9."/>
      <w:lvlJc w:val="start"/>
      <w:pPr>
        <w:ind w:left="3744" w:hanging="288"/>
      </w:pPr>
      <w:rPr>
        <w:color w:val="3370FF"/>
        <w:sz w:val="22"/>
        <w:szCs w:val="22"/>
      </w:rPr>
    </w:lvl>
    <w:lvl w:ilvl="9" w15:tentative="1">
      <w:start w:val="1"/>
      <w:numFmt w:val="decimal"/>
      <w:lvlText w:val="%10."/>
      <w:lvlJc w:val="start"/>
      <w:pPr>
        <w:ind w:left="4176" w:hanging="288"/>
      </w:pPr>
      <w:rPr>
        <w:color w:val="3370FF"/>
        <w:sz w:val="22"/>
        <w:szCs w:val="22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bullet"/>
      <w:lvlText w:val="◦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bullet"/>
      <w:lvlText w:val="▪"/>
      <w:lvlJc w:val="start"/>
      <w:pPr>
        <w:ind w:left="1152" w:hanging="288"/>
      </w:pPr>
      <w:rPr>
        <w:color w:val="3370FF"/>
        <w:sz w:val="22"/>
        <w:szCs w:val="22"/>
      </w:rPr>
    </w:lvl>
    <w:lvl w:ilvl="3" w15:tentative="1">
      <w:start w:val="1"/>
      <w:numFmt w:val="bullet"/>
      <w:lvlText w:val="•"/>
      <w:lvlJc w:val="start"/>
      <w:pPr>
        <w:ind w:left="1583" w:hanging="288"/>
      </w:pPr>
      <w:rPr>
        <w:color w:val="3370FF"/>
        <w:sz w:val="22"/>
        <w:szCs w:val="22"/>
      </w:rPr>
    </w:lvl>
    <w:lvl w:ilvl="4" w15:tentative="1">
      <w:start w:val="1"/>
      <w:numFmt w:val="bullet"/>
      <w:lvlText w:val="◦"/>
      <w:lvlJc w:val="start"/>
      <w:pPr>
        <w:ind w:left="2015" w:hanging="288"/>
      </w:pPr>
      <w:rPr>
        <w:color w:val="3370FF"/>
        <w:sz w:val="22"/>
        <w:szCs w:val="22"/>
      </w:rPr>
    </w:lvl>
    <w:lvl w:ilvl="5" w15:tentative="1">
      <w:start w:val="1"/>
      <w:numFmt w:val="bullet"/>
      <w:lvlText w:val="▪"/>
      <w:lvlJc w:val="start"/>
      <w:pPr>
        <w:ind w:left="2448" w:hanging="288"/>
      </w:pPr>
      <w:rPr>
        <w:color w:val="3370FF"/>
        <w:sz w:val="22"/>
        <w:szCs w:val="22"/>
      </w:rPr>
    </w:lvl>
    <w:lvl w:ilvl="6" w15:tentative="1">
      <w:start w:val="1"/>
      <w:numFmt w:val="bullet"/>
      <w:lvlText w:val="•"/>
      <w:lvlJc w:val="start"/>
      <w:pPr>
        <w:ind w:left="2879" w:hanging="288"/>
      </w:pPr>
      <w:rPr>
        <w:color w:val="3370FF"/>
        <w:sz w:val="22"/>
        <w:szCs w:val="22"/>
      </w:rPr>
    </w:lvl>
    <w:lvl w:ilvl="7" w15:tentative="1">
      <w:start w:val="1"/>
      <w:numFmt w:val="bullet"/>
      <w:lvlText w:val="◦"/>
      <w:lvlJc w:val="start"/>
      <w:pPr>
        <w:ind w:left="3312" w:hanging="288"/>
      </w:pPr>
      <w:rPr>
        <w:color w:val="3370FF"/>
        <w:sz w:val="22"/>
        <w:szCs w:val="22"/>
      </w:rPr>
    </w:lvl>
    <w:lvl w:ilvl="8" w15:tentative="1">
      <w:start w:val="1"/>
      <w:numFmt w:val="bullet"/>
      <w:lvlText w:val="▪"/>
      <w:lvlJc w:val="start"/>
      <w:pPr>
        <w:ind w:left="3744" w:hanging="288"/>
      </w:pPr>
      <w:rPr>
        <w:color w:val="3370FF"/>
        <w:sz w:val="22"/>
        <w:szCs w:val="22"/>
      </w:rPr>
    </w:lvl>
    <w:lvl w:ilvl="9" w15:tentative="1">
      <w:start w:val="1"/>
      <w:numFmt w:val="bullet"/>
      <w:lvlText w:val="•"/>
      <w:lvlJc w:val="start"/>
      <w:pPr>
        <w:ind w:left="4176" w:hanging="288"/>
      </w:pPr>
      <w:rPr>
        <w:color w:val="3370FF"/>
        <w:sz w:val="22"/>
        <w:szCs w:val="22"/>
      </w:rPr>
    </w:lvl>
  </w:abstractNum>
  <w:abstractNum w:abstractNumId="4" w15:restartNumberingAfterBreak="0">
    <w:multiLevelType w:val="hybridMultilevel"/>
    <w:lvl w:ilvl="0" w15:tentative="1">
      <w:start w:val="1"/>
      <w:numFmt w:val="custom"/>
      <w:lvlText w:val="☐"/>
      <w:lvlJc w:val="start"/>
      <w:pPr>
        <w:ind w:left="288" w:hanging="288"/>
      </w:pPr>
    </w:lvl>
    <w:lvl w:ilvl="1" w15:tentative="1">
      <w:start w:val="1"/>
      <w:numFmt w:val="custom"/>
      <w:lvlText w:val="☐"/>
      <w:lvlJc w:val="start"/>
      <w:pPr>
        <w:ind w:left="720" w:hanging="288"/>
      </w:pPr>
    </w:lvl>
    <w:lvl w:ilvl="2" w15:tentative="1">
      <w:start w:val="1"/>
      <w:numFmt w:val="custom"/>
      <w:lvlText w:val="☐"/>
      <w:lvlJc w:val="start"/>
      <w:pPr>
        <w:ind w:left="1152" w:hanging="288"/>
      </w:pPr>
    </w:lvl>
    <w:lvl w:ilvl="3" w15:tentative="1">
      <w:start w:val="1"/>
      <w:numFmt w:val="custom"/>
      <w:lvlText w:val="☐"/>
      <w:lvlJc w:val="start"/>
      <w:pPr>
        <w:ind w:left="1583" w:hanging="288"/>
      </w:pPr>
    </w:lvl>
    <w:lvl w:ilvl="4" w15:tentative="1">
      <w:start w:val="1"/>
      <w:numFmt w:val="custom"/>
      <w:lvlText w:val="☐"/>
      <w:lvlJc w:val="start"/>
      <w:pPr>
        <w:ind w:left="2015" w:hanging="288"/>
      </w:pPr>
    </w:lvl>
    <w:lvl w:ilvl="5" w15:tentative="1">
      <w:start w:val="1"/>
      <w:numFmt w:val="custom"/>
      <w:lvlText w:val="☐"/>
      <w:lvlJc w:val="start"/>
      <w:pPr>
        <w:ind w:left="2448" w:hanging="288"/>
      </w:pPr>
    </w:lvl>
    <w:lvl w:ilvl="6" w15:tentative="1">
      <w:start w:val="1"/>
      <w:numFmt w:val="custom"/>
      <w:lvlText w:val="☐"/>
      <w:lvlJc w:val="start"/>
      <w:pPr>
        <w:ind w:left="2879" w:hanging="288"/>
      </w:pPr>
    </w:lvl>
    <w:lvl w:ilvl="7" w15:tentative="1">
      <w:start w:val="1"/>
      <w:numFmt w:val="custom"/>
      <w:lvlText w:val="☐"/>
      <w:lvlJc w:val="start"/>
      <w:pPr>
        <w:ind w:left="3312" w:hanging="288"/>
      </w:pPr>
    </w:lvl>
    <w:lvl w:ilvl="8" w15:tentative="1">
      <w:start w:val="1"/>
      <w:numFmt w:val="custom"/>
      <w:lvlText w:val="☐"/>
      <w:lvlJc w:val="start"/>
      <w:pPr>
        <w:ind w:left="3744" w:hanging="288"/>
      </w:pPr>
    </w:lvl>
    <w:lvl w:ilvl="9" w15:tentative="1">
      <w:start w:val="1"/>
      <w:numFmt w:val="custom"/>
      <w:lvlText w:val="☐"/>
      <w:lvlJc w:val="start"/>
      <w:pPr>
        <w:ind w:left="4176" w:hanging="288"/>
      </w:pPr>
    </w:lvl>
  </w:abstractNum>
  <w:abstractNum w:abstractNumId="5" w15:restartNumberingAfterBreak="0">
    <w:multiLevelType w:val="hybridMultilevel"/>
    <w:lvl w:ilvl="0" w15:tentative="1">
      <w:start w:val="1"/>
      <w:numFmt w:val="custom"/>
      <w:lvlText w:val="☑"/>
      <w:lvlJc w:val="start"/>
      <w:pPr>
        <w:ind w:left="288" w:hanging="288"/>
      </w:pPr>
    </w:lvl>
    <w:lvl w:ilvl="1" w15:tentative="1">
      <w:start w:val="1"/>
      <w:numFmt w:val="custom"/>
      <w:lvlText w:val="☑"/>
      <w:lvlJc w:val="start"/>
      <w:pPr>
        <w:ind w:left="720" w:hanging="288"/>
      </w:pPr>
    </w:lvl>
    <w:lvl w:ilvl="2" w15:tentative="1">
      <w:start w:val="1"/>
      <w:numFmt w:val="custom"/>
      <w:lvlText w:val="☑"/>
      <w:lvlJc w:val="start"/>
      <w:pPr>
        <w:ind w:left="1152" w:hanging="288"/>
      </w:pPr>
    </w:lvl>
    <w:lvl w:ilvl="3" w15:tentative="1">
      <w:start w:val="1"/>
      <w:numFmt w:val="custom"/>
      <w:lvlText w:val="☑"/>
      <w:lvlJc w:val="start"/>
      <w:pPr>
        <w:ind w:left="1583" w:hanging="288"/>
      </w:pPr>
    </w:lvl>
    <w:lvl w:ilvl="4" w15:tentative="1">
      <w:start w:val="1"/>
      <w:numFmt w:val="custom"/>
      <w:lvlText w:val="☑"/>
      <w:lvlJc w:val="start"/>
      <w:pPr>
        <w:ind w:left="2015" w:hanging="288"/>
      </w:pPr>
    </w:lvl>
    <w:lvl w:ilvl="5" w15:tentative="1">
      <w:start w:val="1"/>
      <w:numFmt w:val="custom"/>
      <w:lvlText w:val="☑"/>
      <w:lvlJc w:val="start"/>
      <w:pPr>
        <w:ind w:left="2448" w:hanging="288"/>
      </w:pPr>
    </w:lvl>
    <w:lvl w:ilvl="6" w15:tentative="1">
      <w:start w:val="1"/>
      <w:numFmt w:val="custom"/>
      <w:lvlText w:val="☑"/>
      <w:lvlJc w:val="start"/>
      <w:pPr>
        <w:ind w:left="2879" w:hanging="288"/>
      </w:pPr>
    </w:lvl>
    <w:lvl w:ilvl="7" w15:tentative="1">
      <w:start w:val="1"/>
      <w:numFmt w:val="custom"/>
      <w:lvlText w:val="☑"/>
      <w:lvlJc w:val="start"/>
      <w:pPr>
        <w:ind w:left="3312" w:hanging="288"/>
      </w:pPr>
    </w:lvl>
    <w:lvl w:ilvl="8" w15:tentative="1">
      <w:start w:val="1"/>
      <w:numFmt w:val="custom"/>
      <w:lvlText w:val="☑"/>
      <w:lvlJc w:val="start"/>
      <w:pPr>
        <w:ind w:left="3744" w:hanging="288"/>
      </w:pPr>
    </w:lvl>
    <w:lvl w:ilvl="9" w15:tentative="1">
      <w:start w:val="1"/>
      <w:numFmt w:val="custom"/>
      <w:lvlText w:val="☑"/>
      <w:lvlJc w:val="start"/>
      <w:pPr>
        <w:ind w:left="4176" w:hanging="288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2"/>
    <w:lvlOverride w:ilvl="0">
      <w:startOverride w:val="1"/>
    </w:lvlOverride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2"/>
    <w:lvlOverride w:ilvl="0">
      <w:startOverride w:val="1"/>
    </w:lvlOverride>
  </w:num>
  <w:num w:numId="8">
    <w:abstractNumId w:val="2"/>
    <w:lvlOverride w:ilvl="0">
      <w:startOverride w:val="1"/>
    </w:lvlOverride>
  </w:num>
  <w:num w:numId="9">
    <w:abstractNumId w:val="2"/>
    <w:lvlOverride w:ilvl="0">
      <w:startOverride w:val="1"/>
    </w:lvlOverride>
  </w:num>
  <w:num w:numId="10">
    <w:abstractNumId w:val="2"/>
    <w:lvlOverride w:ilvl="0">
      <w:startOverride w:val="1"/>
    </w:lvlOverride>
  </w:num>
  <w:num w:numId="11">
    <w:abstractNumId w:val="2"/>
    <w:lvlOverride w:ilvl="0">
      <w:startOverride w:val="1"/>
    </w:lvlOverride>
  </w:num>
  <w:num w:numId="12">
    <w:abstractNumId w:val="2"/>
    <w:lvlOverride w:ilvl="0">
      <w:startOverride w:val="1"/>
    </w:lvlOverride>
  </w:num>
  <w:num w:numId="13">
    <w:abstractNumId w:val="2"/>
    <w:lvlOverride w:ilvl="0">
      <w:startOverride w:val="1"/>
    </w:lvlOverride>
  </w:num>
  <w:num w:numId="14">
    <w:abstractNumId w:val="2"/>
    <w:lvlOverride w:ilvl="0">
      <w:startOverride w:val="1"/>
    </w:lvlOverride>
  </w:num>
  <w:num w:numId="15">
    <w:abstractNumId w:val="2"/>
    <w:lvlOverride w:ilvl="0">
      <w:startOverride w:val="1"/>
    </w:lvlOverride>
  </w:num>
  <w:num w:numId="16">
    <w:abstractNumId w:val="2"/>
    <w:lvlOverride w:ilvl="0">
      <w:startOverride w:val="1"/>
    </w:lvlOverride>
  </w:num>
  <w:num w:numId="17">
    <w:abstractNumId w:val="2"/>
    <w:lvlOverride w:ilvl="0">
      <w:startOverride w:val="1"/>
    </w:lvlOverride>
  </w:num>
  <w:num w:numId="18">
    <w:abstractNumId w:val="2"/>
    <w:lvlOverride w:ilvl="0">
      <w:startOverride w:val="1"/>
    </w:lvlOverride>
  </w:num>
  <w:num w:numId="19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pPr>
      <w:spacing w:before="480" w:after="480" w:line="288" w:lineRule="auto"/>
      <w:ind w:left="0"/>
    </w:pPr>
    <w:rPr>
      <w:b/>
      <w:bCs/>
      <w:sz w:val="52"/>
      <w:szCs w:val="52"/>
      <w:rFonts w:ascii="Arial" w:hAnsi="Arial" w:eastAsia="等线" w:cs="Arial"/>
    </w:rPr>
  </w:style>
  <w:style w:type="paragraph" w:styleId="Heading1">
    <w:name w:val="Heading 1"/>
    <w:basedOn w:val="Normal"/>
    <w:next w:val="Normal"/>
    <w:qFormat/>
    <w:pPr>
      <w:spacing w:before="380" w:after="140" w:line="288" w:lineRule="auto"/>
      <w:ind w:left="0"/>
      <w:jc w:val="left"/>
      <w:outlineLvl w:val="0"/>
    </w:pPr>
    <w:rPr>
      <w:b/>
      <w:bCs/>
      <w:sz w:val="36"/>
      <w:szCs w:val="36"/>
      <w:rFonts w:ascii="Arial" w:hAnsi="Arial" w:eastAsia="等线" w:cs="Arial"/>
    </w:rPr>
  </w:style>
  <w:style w:type="paragraph" w:styleId="Heading2">
    <w:name w:val="Heading 2"/>
    <w:basedOn w:val="Normal"/>
    <w:next w:val="Normal"/>
    <w:qFormat/>
    <w:pPr>
      <w:spacing w:before="320" w:after="120" w:line="288" w:lineRule="auto"/>
      <w:ind w:left="0"/>
      <w:jc w:val="left"/>
      <w:outlineLvl w:val="1"/>
    </w:pPr>
    <w:rPr>
      <w:b/>
      <w:bCs/>
      <w:sz w:val="32"/>
      <w:szCs w:val="32"/>
      <w:rFonts w:ascii="Arial" w:hAnsi="Arial" w:eastAsia="等线" w:cs="Arial"/>
    </w:rPr>
  </w:style>
  <w:style w:type="paragraph" w:styleId="Heading3">
    <w:name w:val="Heading 3"/>
    <w:basedOn w:val="Normal"/>
    <w:next w:val="Normal"/>
    <w:qFormat/>
    <w:pPr>
      <w:spacing w:before="300" w:after="120" w:line="288" w:lineRule="auto"/>
      <w:ind w:left="0"/>
      <w:jc w:val="left"/>
      <w:outlineLvl w:val="2"/>
    </w:pPr>
    <w:rPr>
      <w:b/>
      <w:bCs/>
      <w:sz w:val="30"/>
      <w:szCs w:val="30"/>
      <w:rFonts w:ascii="Arial" w:hAnsi="Arial" w:eastAsia="等线" w:cs="Arial"/>
    </w:rPr>
  </w:style>
  <w:style w:type="paragraph" w:styleId="Heading4">
    <w:name w:val="Heading 4"/>
    <w:basedOn w:val="Normal"/>
    <w:next w:val="Normal"/>
    <w:qFormat/>
    <w:pPr>
      <w:spacing w:before="260" w:after="120" w:line="288" w:lineRule="auto"/>
      <w:ind w:left="0"/>
      <w:jc w:val="left"/>
      <w:outlineLvl w:val="3"/>
    </w:pPr>
    <w:rPr>
      <w:b/>
      <w:bCs/>
      <w:sz w:val="28"/>
      <w:szCs w:val="28"/>
      <w:rFonts w:ascii="Arial" w:hAnsi="Arial" w:eastAsia="等线" w:cs="Arial"/>
    </w:rPr>
  </w:style>
  <w:style w:type="paragraph" w:styleId="Heading5">
    <w:name w:val="Heading 5"/>
    <w:basedOn w:val="Normal"/>
    <w:next w:val="Normal"/>
    <w:qFormat/>
    <w:pPr>
      <w:spacing w:before="240" w:after="120" w:line="288" w:lineRule="auto"/>
      <w:ind w:left="0"/>
      <w:jc w:val="left"/>
      <w:outlineLvl w:val="4"/>
    </w:pPr>
    <w:rPr>
      <w:b/>
      <w:bCs/>
      <w:sz w:val="24"/>
      <w:szCs w:val="24"/>
      <w:rFonts w:ascii="Arial" w:hAnsi="Arial" w:eastAsia="等线" w:cs="Arial"/>
    </w:rPr>
  </w:style>
  <w:style w:type="paragraph" w:styleId="Heading6">
    <w:name w:val="Heading 6"/>
    <w:basedOn w:val="Normal"/>
    <w:next w:val="Normal"/>
    <w:qFormat/>
    <w:pPr>
      <w:spacing w:before="240" w:after="120" w:line="288" w:lineRule="auto"/>
      <w:ind w:left="0"/>
      <w:jc w:val="left"/>
      <w:outlineLvl w:val="5"/>
    </w:pPr>
    <w:rPr>
      <w:b/>
      <w:bCs/>
      <w:sz w:val="24"/>
      <w:szCs w:val="24"/>
      <w:rFonts w:ascii="Arial" w:hAnsi="Arial" w:eastAsia="等线" w:cs="Arial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text">
    <w:pPr>
      <w:spacing w:before="120" w:after="120" w:line="288" w:lineRule="auto"/>
      <w:ind w:left="0"/>
      <w:jc w:val="left"/>
    </w:pPr>
    <w:rPr>
      <w:sz w:val="22"/>
      <w:szCs w:val="22"/>
      <w:rFonts w:ascii="Arial" w:hAnsi="Arial" w:eastAsia="等线" w:cs="Arial"/>
    </w:rPr>
  </w:style>
  <w:style w:type="paragraph" w:styleId="blockquote">
    <w:pPr>
      <w:spacing w:before="120" w:after="120" w:line="288" w:lineRule="auto"/>
      <w:ind w:left="0"/>
      <w:jc w:val="left"/>
    </w:pPr>
    <w:rPr>
      <w:color w:val="8F959E"/>
      <w:sz w:val="22"/>
      <w:szCs w:val="22"/>
      <w:rFonts w:ascii="Arial" w:hAnsi="Arial" w:eastAsia="等线" w:cs="Arial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2025-12-12T02:46:06.111Z</dcterms:created>
  <dcterms:modified xsi:type="dcterms:W3CDTF">2025-12-12T02:46:06.111Z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